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A" w:rsidRDefault="001C75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W w:w="10772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1545"/>
        <w:gridCol w:w="1538"/>
        <w:gridCol w:w="5570"/>
      </w:tblGrid>
      <w:tr w:rsidR="001C75FA">
        <w:trPr>
          <w:trHeight w:val="35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center"/>
              <w:rPr>
                <w:rFonts w:ascii="Helvetica Neue" w:eastAsia="Helvetica Neue" w:hAnsi="Helvetica Neue" w:cs="Helvetica Neue"/>
                <w:color w:val="FEFFFE"/>
              </w:rPr>
            </w:pPr>
            <w:r>
              <w:rPr>
                <w:rFonts w:ascii="Helvetica Neue" w:eastAsia="Helvetica Neue" w:hAnsi="Helvetica Neue" w:cs="Helvetica Neue"/>
                <w:color w:val="FEFFFE"/>
                <w:sz w:val="22"/>
                <w:szCs w:val="22"/>
              </w:rPr>
              <w:t>Propuesta de Capacitación:</w:t>
            </w:r>
          </w:p>
        </w:tc>
      </w:tr>
      <w:tr w:rsidR="001C75FA">
        <w:trPr>
          <w:trHeight w:val="35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2"/>
                <w:szCs w:val="22"/>
              </w:rPr>
              <w:t xml:space="preserve">Movimiento para la construcción y la práctica de un nuevo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FEFFFE"/>
                <w:sz w:val="22"/>
                <w:szCs w:val="22"/>
              </w:rPr>
              <w:t>Paradigma :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FEFFFE"/>
                <w:sz w:val="22"/>
                <w:szCs w:val="22"/>
              </w:rPr>
              <w:t xml:space="preserve"> </w:t>
            </w:r>
          </w:p>
          <w:p w:rsidR="001C75FA" w:rsidRDefault="008F041B">
            <w:pPr>
              <w:jc w:val="center"/>
              <w:rPr>
                <w:rFonts w:ascii="Helvetica Neue" w:eastAsia="Helvetica Neue" w:hAnsi="Helvetica Neue" w:cs="Helvetica Neue"/>
                <w:color w:val="FEFFFE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2"/>
                <w:szCs w:val="22"/>
              </w:rPr>
              <w:t>El Nacimiento y el Parto Respetado</w:t>
            </w:r>
          </w:p>
        </w:tc>
      </w:tr>
      <w:tr w:rsidR="001C75FA">
        <w:trPr>
          <w:trHeight w:val="535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center"/>
              <w:rPr>
                <w:rFonts w:ascii="Helvetica Neue" w:eastAsia="Helvetica Neue" w:hAnsi="Helvetica Neue" w:cs="Helvetica Neue"/>
                <w:color w:val="FEFFF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FEFFFE"/>
                <w:sz w:val="24"/>
                <w:szCs w:val="24"/>
              </w:rPr>
              <w:t xml:space="preserve">Ministerio de desarrollo Social </w:t>
            </w:r>
          </w:p>
          <w:p w:rsidR="001C75FA" w:rsidRDefault="008F041B">
            <w:pPr>
              <w:jc w:val="center"/>
              <w:rPr>
                <w:rFonts w:ascii="Helvetica Neue" w:eastAsia="Helvetica Neue" w:hAnsi="Helvetica Neue" w:cs="Helvetica Neue"/>
                <w:color w:val="FEFFF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FEFFFE"/>
                <w:sz w:val="24"/>
                <w:szCs w:val="24"/>
              </w:rPr>
              <w:t xml:space="preserve">Secretaría Nacional de Niñez Adolescencia y Familia </w:t>
            </w:r>
          </w:p>
          <w:p w:rsidR="001C75FA" w:rsidRDefault="001C75FA">
            <w:pPr>
              <w:rPr>
                <w:rFonts w:ascii="Helvetica Neue" w:eastAsia="Helvetica Neue" w:hAnsi="Helvetica Neue" w:cs="Helvetica Neue"/>
                <w:color w:val="FEFFFE"/>
              </w:rPr>
            </w:pPr>
          </w:p>
        </w:tc>
      </w:tr>
      <w:tr w:rsidR="001C75FA">
        <w:trPr>
          <w:trHeight w:val="585"/>
        </w:trPr>
        <w:tc>
          <w:tcPr>
            <w:tcW w:w="2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Docentes / Tutores a cargo</w:t>
            </w:r>
          </w:p>
        </w:tc>
        <w:tc>
          <w:tcPr>
            <w:tcW w:w="865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Subsecretaria de Promoción de Derechos para la Niñez la Adolescencia y la Familia.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Unidad Técnica de Formación y Abordaje Territorial. 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Docentes:------------------------------------------------</w:t>
            </w:r>
          </w:p>
        </w:tc>
      </w:tr>
      <w:tr w:rsidR="001C75FA">
        <w:trPr>
          <w:trHeight w:val="295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Duración de la capacitación y modalidades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Fecha de inicio: 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Fecha de finalización: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19/3/2021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26/3/2021</w:t>
            </w:r>
          </w:p>
        </w:tc>
      </w:tr>
      <w:tr w:rsidR="001C75FA">
        <w:trPr>
          <w:trHeight w:val="284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Nro. de clases o encuentros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Encuentros de manera sincrónica de 2.5 horas </w:t>
            </w: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</w:tr>
      <w:tr w:rsidR="001C75FA">
        <w:trPr>
          <w:trHeight w:val="295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Frecuencia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ve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 xml:space="preserve"> por semana </w:t>
            </w:r>
          </w:p>
        </w:tc>
      </w:tr>
      <w:tr w:rsidR="001C75FA">
        <w:trPr>
          <w:trHeight w:val="295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</w:tr>
      <w:tr w:rsidR="001C75FA">
        <w:trPr>
          <w:trHeight w:val="2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</w:tr>
      <w:tr w:rsidR="001C75FA">
        <w:trPr>
          <w:trHeight w:val="16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Población destinataria del curso</w:t>
            </w:r>
          </w:p>
        </w:tc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Dirigido a todes les referentes y equipos del área de Salud quienes acompañan, asisten, intervienen y participan en los momentos previos al parto y en el parto. Refiérase a obstétricas/os, enfermeras/os, </w:t>
            </w:r>
            <w:r>
              <w:rPr>
                <w:rFonts w:ascii="Calibri" w:eastAsia="Calibri" w:hAnsi="Calibri" w:cs="Calibri"/>
              </w:rPr>
              <w:t>médicos generalistas, obstetras, toco-ginecólogos, y médicos residentes en formación de dichas carreras de especialización.</w:t>
            </w: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Aquellos interesados que de algún modo promueven espacios que respeten y garanticen los derechos, de las personas gestantes y de pe</w:t>
            </w:r>
            <w:r>
              <w:rPr>
                <w:rFonts w:ascii="Calibri" w:eastAsia="Calibri" w:hAnsi="Calibri" w:cs="Calibri"/>
                <w:color w:val="000000"/>
              </w:rPr>
              <w:t>rsonas por nacer y que tomen decisiones en el marco de las garantías de los DDHH.</w:t>
            </w: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49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Fundamentación</w:t>
            </w:r>
          </w:p>
        </w:tc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Los objetivos de la Secretaria Nacional de Niñez Adolescencia y la Familia (SENAF) Son: </w:t>
            </w:r>
          </w:p>
          <w:p w:rsidR="001C75FA" w:rsidRDefault="008F041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Promover y garantizar los derechos de las infancias y las familias en el marco de la Ley de Protección Integral 26.061 (2006) </w:t>
            </w:r>
          </w:p>
          <w:p w:rsidR="001C75FA" w:rsidRDefault="008F041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Fomentar el fortalecimiento de sistema de protección Integral de todes quienes integramos y somos responsables de la garantía de </w:t>
            </w:r>
            <w:r>
              <w:rPr>
                <w:rFonts w:ascii="Calibri" w:eastAsia="Calibri" w:hAnsi="Calibri" w:cs="Calibri"/>
                <w:color w:val="000000"/>
              </w:rPr>
              <w:t xml:space="preserve">los derechos de las infancias. </w:t>
            </w:r>
          </w:p>
          <w:p w:rsidR="001C75FA" w:rsidRDefault="008F041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Generar una articulación y garantizar la Ley de 26485 de Protección Integral para Prevenir Sancionar y Erradicarlas Violencias contra las Mujeres en el ámbito que desarrollen sus relaciones personales (2009) </w:t>
            </w:r>
          </w:p>
          <w:p w:rsidR="001C75FA" w:rsidRDefault="008F041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Promover en el </w:t>
            </w:r>
            <w:r>
              <w:rPr>
                <w:rFonts w:ascii="Calibri" w:eastAsia="Calibri" w:hAnsi="Calibri" w:cs="Calibri"/>
                <w:color w:val="000000"/>
              </w:rPr>
              <w:t>marco del derecho y las prácticas la Ley 25.929 de Derecho al Parto Respetado (2015) y su implementación en la provincia de Buenos Aires a través de la creación del Plan Estratégico que tiene por objetivo garantizar el cumplimiento de esta Ley de manera in</w:t>
            </w:r>
            <w:r>
              <w:rPr>
                <w:rFonts w:ascii="Calibri" w:eastAsia="Calibri" w:hAnsi="Calibri" w:cs="Calibri"/>
                <w:color w:val="000000"/>
              </w:rPr>
              <w:t>tegral e incluye iniciativas que van desde la capacitación, sensibilización y actualización del marco legal para los equipos de salud, las mejoras edilicias para garantizar la intimidad, el acompañamiento, el libre movimiento y posición en el trabajo de pa</w:t>
            </w:r>
            <w:r>
              <w:rPr>
                <w:rFonts w:ascii="Calibri" w:eastAsia="Calibri" w:hAnsi="Calibri" w:cs="Calibri"/>
                <w:color w:val="000000"/>
              </w:rPr>
              <w:t xml:space="preserve">rto y parto, como el equipamiento de las salas de trabajo de parto y parto con mobiliario que brinde mayor comodidad a la gestante facilitando la elección de las distintas posiciones al momento de parir           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1C75FA" w:rsidRDefault="008F041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Repensar las acciones de maternidad y paternidad no solo en el marco normativo </w:t>
            </w:r>
            <w:r>
              <w:rPr>
                <w:rFonts w:ascii="Calibri" w:eastAsia="Calibri" w:hAnsi="Calibri" w:cs="Calibri"/>
                <w:color w:val="000000"/>
              </w:rPr>
              <w:t>sino en el cambio de paradigma que significa la atención de las personas gestantes y sus co gestantes respecto de una persona por nacer y a los diversos modelos de familia, maternaje y paternaje</w:t>
            </w: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  <w:p w:rsidR="001C75FA" w:rsidRDefault="001C75F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5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Objetivos generales </w:t>
            </w:r>
          </w:p>
        </w:tc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Abordar la temática de Salud Sexual y Reproductiva y no Reproductiva desde un enfoque respetuoso de los derechos humanos.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Lograr que los derechos plasmados en los marcos normativos vigentes se hagan realidad en la vida cotidiana de las personas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Acompañar e</w:t>
            </w:r>
            <w:r>
              <w:rPr>
                <w:rFonts w:ascii="Calibri" w:eastAsia="Calibri" w:hAnsi="Calibri" w:cs="Calibri"/>
                <w:color w:val="000000"/>
              </w:rPr>
              <w:t>n la transformación del posicionamiento de los agentesy equipos de salud, también, como agentes de derecho y desde una perspectiva de género y equidad en salud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Trabajar en la promoción de las políticas públicas inclusivas que fomenten el respeto a la igual</w:t>
            </w:r>
            <w:r>
              <w:rPr>
                <w:rFonts w:ascii="Calibri" w:eastAsia="Calibri" w:hAnsi="Calibri" w:cs="Calibri"/>
                <w:color w:val="000000"/>
              </w:rPr>
              <w:t>dad a la diversidad libre de discriminación con perspectiva de género.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Revisar las prácticas instaladas desnaturalizándolas, promoviendo el ejercicio pleno de los derechos de las mujeres, las personas gestantes que desean y no desean maternar y las persona</w:t>
            </w:r>
            <w:r>
              <w:rPr>
                <w:rFonts w:ascii="Calibri" w:eastAsia="Calibri" w:hAnsi="Calibri" w:cs="Calibri"/>
                <w:color w:val="000000"/>
              </w:rPr>
              <w:t>s por nacer</w:t>
            </w:r>
            <w:r>
              <w:rPr>
                <w:rFonts w:ascii="Calibri" w:eastAsia="Calibri" w:hAnsi="Calibri" w:cs="Calibri"/>
                <w:color w:val="FFC000"/>
              </w:rPr>
              <w:t xml:space="preserve">. 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Construir un espacio de escucha para la necesidad de las personas gestantes de ser acompañadas. Asimismo hacer lugar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  quienes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acompañan el proceso de gestación y su presencia durante el trabajo de parto y parto. 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Incluir en las prácticas de la salud una mirada más integral empática y respetuosa de mayor integración de las diferentes aristas que representan la atención del proceso reproductivo, no solo desde la practica medica sino teniendo en cuenta la sexualidad, </w:t>
            </w:r>
            <w:r>
              <w:rPr>
                <w:rFonts w:ascii="Calibri" w:eastAsia="Calibri" w:hAnsi="Calibri" w:cs="Calibri"/>
                <w:color w:val="000000"/>
              </w:rPr>
              <w:t xml:space="preserve">las condiciones socio culturales, económicas, la interculturalidad, costumbres y creencias </w:t>
            </w:r>
          </w:p>
          <w:p w:rsidR="001C75FA" w:rsidRDefault="008F041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Brindar herramientas pedagógicas para aquellos que integran el área de salud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perinatal  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que interactúan con las familias gestantes</w:t>
            </w:r>
          </w:p>
          <w:p w:rsidR="001C75FA" w:rsidRDefault="001C75F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53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Desarrollo de la actividad </w:t>
            </w:r>
          </w:p>
        </w:tc>
      </w:tr>
      <w:tr w:rsidR="001C75FA">
        <w:trPr>
          <w:trHeight w:val="120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Respecto de las clases presenciales 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 los  foros de participación </w:t>
            </w:r>
          </w:p>
        </w:tc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Elementos y Ejes de trabajo </w:t>
            </w:r>
          </w:p>
          <w:p w:rsidR="001C75FA" w:rsidRDefault="008F04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Elementos facilitadores: pelota, silla, almohadones/pelotas de 50 cm y suspensión</w:t>
            </w:r>
          </w:p>
          <w:p w:rsidR="001C75FA" w:rsidRDefault="008F04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Pautas de Seguridad y Beneficios.</w:t>
            </w:r>
          </w:p>
          <w:p w:rsidR="001C75FA" w:rsidRDefault="008F04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Abordaje de una actitud empática para tender puentes entre los agentes de salud hacia los universos y necesidades diferentes de cada persona gestante</w:t>
            </w:r>
          </w:p>
          <w:p w:rsidR="001C75FA" w:rsidRDefault="008F04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Construcción colectiva de vínculos de confianza interpersonales, comunitarios e institucionales.</w:t>
            </w:r>
          </w:p>
          <w:p w:rsidR="001C75FA" w:rsidRDefault="008F04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Escucha y</w:t>
            </w:r>
            <w:r>
              <w:rPr>
                <w:rFonts w:ascii="Calibri" w:eastAsia="Calibri" w:hAnsi="Calibri" w:cs="Calibri"/>
                <w:color w:val="000000"/>
              </w:rPr>
              <w:t xml:space="preserve"> legitimación de la propia necesidad, la construcción de muchas herramientas posibles que construyan la confianza en sí misma más que en el sistema médico, sabiéndose a ellas mismas y a sus hijos e hijas como sujetos de derechos. </w:t>
            </w: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284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Encuentro  1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Tema: El movimiento de las articulaciones más solicitadas en el cuerpo de la mujer gestante. </w:t>
            </w:r>
          </w:p>
        </w:tc>
      </w:tr>
      <w:tr w:rsidR="001C75FA">
        <w:trPr>
          <w:trHeight w:val="53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Objetivos específicos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Profundizar y abordar la perspectiva de derechos en la práctica de los agentes de salud.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Incorporar el movimiento como herramienta para el conocimiento del propio de cuerpo.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Poder identificar la relación con el propio cuerpo y el movimiento. 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Integrar la Sensación y Percepción.</w:t>
            </w:r>
          </w:p>
        </w:tc>
      </w:tr>
      <w:tr w:rsidR="001C75FA">
        <w:trPr>
          <w:trHeight w:val="53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Contenidos mínimos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perspectiva del Derechos en las Practicas de la Salud</w:t>
            </w:r>
          </w:p>
          <w:p w:rsidR="001C75FA" w:rsidRDefault="008F04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Perspectivas de género y derechos de la mujer.</w:t>
            </w:r>
          </w:p>
          <w:p w:rsidR="001C75FA" w:rsidRDefault="008F04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valor de la auto percepción y de la percepción.</w:t>
            </w:r>
          </w:p>
          <w:p w:rsidR="001C75FA" w:rsidRDefault="008F04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El trabajo con el movimiento y balones como instrumento para darle un espacio y un valor a la percepción. </w:t>
            </w:r>
          </w:p>
          <w:p w:rsidR="001C75FA" w:rsidRDefault="008F04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Rutinas de movimiento y las posibilidades de sostén del cuerpo en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el espacio que construyan la confianza en la posibilidad fisiológica del parto.  </w:t>
            </w:r>
          </w:p>
          <w:p w:rsidR="001C75FA" w:rsidRDefault="008F041B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Movimientos para la articulación coxofemoral, sacro iliaco y la pelvis.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pelvis: Espacio vital.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Órganos Urogenitales. Percepción sensible.</w:t>
            </w:r>
          </w:p>
          <w:p w:rsidR="001C75FA" w:rsidRDefault="008F04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Sexualidad y Periné.</w:t>
            </w:r>
          </w:p>
        </w:tc>
      </w:tr>
      <w:tr w:rsidR="001C75FA">
        <w:trPr>
          <w:trHeight w:val="785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Metodología de trabajo de las clases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Los encuentros se llevaran a cabo con modalidad virtual modalidad on-line en plataforma Zoom o similar.</w:t>
            </w: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Herramientas de trabajo de las actividades prácticas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trabajara con instancias prácticas, con herramientas pedagógicas filminas, PowerPoint , videos, literaturas y recursos materiales tales como pelotas, silla, cañas o bastones de madera (palo de escoba), telas, imágenes etc.</w:t>
            </w: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34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8F041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Encuentro 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Tema: La Respiración y la Confianza en la Fisiología del Parto</w:t>
            </w:r>
          </w:p>
        </w:tc>
      </w:tr>
      <w:tr w:rsidR="001C75FA">
        <w:trPr>
          <w:trHeight w:val="131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Objetivos específicos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Abordajes del movimiento en la respiración de las personas gestantes. El trabajo de parto y la respiración. Recursos para evitar la acumulación de tensión y la exhalación para el aprendizaje de poder “soltar” y no “empujar”. </w:t>
            </w:r>
          </w:p>
          <w:p w:rsidR="001C75FA" w:rsidRDefault="008F041B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Protección y cuidado del suelo</w:t>
            </w:r>
            <w:r>
              <w:rPr>
                <w:rFonts w:ascii="Calibri" w:eastAsia="Calibri" w:hAnsi="Calibri" w:cs="Calibri"/>
              </w:rPr>
              <w:t xml:space="preserve"> pélvico. Territorio de nuestra sexualidad.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Acompañar, asistir e Intervenir</w:t>
            </w: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Contenidos mínimos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Función Respiratoria. 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Movimientos de la respiración. 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Conexión de los diafragmas.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Ejercicios para las estructuras miofaciales de la respiración.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Ejercicios para identificar los movimientos y conexiones de la cintura pélvica y cintura escapular. 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trabajo de parto y la respiración. 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Contacto y toques para el momento del trabajo de parto.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Manejo de la tensión y la exhalación para el aprendizaje de poder “soltar” y no “empujar”. </w:t>
            </w:r>
          </w:p>
          <w:p w:rsidR="001C75FA" w:rsidRDefault="008F04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  <w:p w:rsidR="001C75FA" w:rsidRDefault="001C75F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Metodología de trabajo del encuentro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Los encuentros se llevaran a cabo con modalidad virtual modalidad on-line en plataforma Zoom o similar.</w:t>
            </w: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Herramientas de trabajo de las actividades prácticas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 trabajará con instancias prácticas, con herramientas pedagógicas filminas, PowerPoint, videos literaturas y recursos materiales tales como pelotas, cañas o bastones de madera (palo de escoba), silla, </w:t>
            </w:r>
            <w:r>
              <w:rPr>
                <w:rFonts w:ascii="Calibri" w:eastAsia="Calibri" w:hAnsi="Calibri" w:cs="Calibri"/>
                <w:color w:val="000000"/>
              </w:rPr>
              <w:t xml:space="preserve">telas, imágenes etc.  </w:t>
            </w: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8F041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Intercambio de pareceres y saberes de prácticas y de experiencias de las participantes.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Contenidos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Violencias simbólicas y Violencias Físicas. </w:t>
            </w:r>
          </w:p>
          <w:p w:rsidR="001C75FA" w:rsidRDefault="008F041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Definición de Violencia </w:t>
            </w:r>
          </w:p>
          <w:p w:rsidR="001C75FA" w:rsidRDefault="008F041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Pedagogía de la Escucha </w:t>
            </w:r>
          </w:p>
          <w:p w:rsidR="001C75FA" w:rsidRDefault="001C75FA">
            <w:pPr>
              <w:jc w:val="right"/>
              <w:rPr>
                <w:rFonts w:ascii="Calibri" w:eastAsia="Calibri" w:hAnsi="Calibri" w:cs="Calibri"/>
              </w:rPr>
            </w:pPr>
          </w:p>
          <w:p w:rsidR="001C75FA" w:rsidRDefault="001C75FA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1C75FA">
        <w:trPr>
          <w:trHeight w:val="39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Tema: La  Pelota, el movimiento y el contacto</w:t>
            </w:r>
          </w:p>
        </w:tc>
      </w:tr>
      <w:tr w:rsidR="001C75FA">
        <w:trPr>
          <w:trHeight w:val="13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Objetivos específicos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Sumar en las prácticas de salud diferentes elementos que facilitan el movimiento en el trabajo de parto.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Abordar el rol del Acompañante en el TP y la construcción del vínculo consiente.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Facilitar a otras las maneras de utilizarlos.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Incorporar la Pelota como aliada </w:t>
            </w:r>
          </w:p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Combinar con Técnicas de Suspensión: dispositivos diferentes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suspensión  Vocalización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y sonidos</w:t>
            </w: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Contenidos mínimos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Movimiento. Disociar, Ceder y no Resistir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Ejercicios con pelota de 85 cm /almohadones, (pelotas de 50 cm)  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Ejercicios con sillas. Movimiento y música.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Ejercicios con elementos de suspensión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Vocalización y sonidos</w:t>
            </w:r>
          </w:p>
          <w:p w:rsidR="001C75FA" w:rsidRDefault="008F041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 gestante y acompañantes: Disponibilidad – Involucrarse en el Proceso.</w:t>
            </w: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Metodología de trabajo de la clase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Los encuentros se llevaran a cabo con modalidad virtual modalidad on-line en plataforma Zoom o similar.</w:t>
            </w:r>
          </w:p>
        </w:tc>
      </w:tr>
      <w:tr w:rsidR="001C75FA">
        <w:trPr>
          <w:trHeight w:val="131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Herramientas de trabajo de las Actividades prácticas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8F04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trabajara con instancias prácticas, con herramientas pedagógicas filminas, power, videos literaturas y recursos materiales tales como pelotas, silla, telas, imágenes etc</w:t>
            </w:r>
          </w:p>
        </w:tc>
      </w:tr>
      <w:tr w:rsidR="001C75FA">
        <w:trPr>
          <w:trHeight w:val="13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4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75FA">
        <w:trPr>
          <w:trHeight w:val="131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  <w:p w:rsidR="001C75FA" w:rsidRDefault="008F041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BIBLIOGRAFÍA: </w:t>
            </w:r>
          </w:p>
          <w:p w:rsidR="001C75FA" w:rsidRDefault="001C75FA">
            <w:pPr>
              <w:jc w:val="both"/>
              <w:rPr>
                <w:rFonts w:ascii="Calibri" w:eastAsia="Calibri" w:hAnsi="Calibri" w:cs="Calibri"/>
              </w:rPr>
            </w:pP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Periné Femenino y El parto- Blandine Calais Germain-Editorial La liebre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Marzo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Parir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Movimiento  Blandine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Calais Germain- Nuria Vives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Acerca de la Fisiología en el Embarazo y el Parto – VerenaSchmid Editoras Mujer Sabia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Salud feminista Soberanía de l</w:t>
            </w:r>
            <w:r>
              <w:rPr>
                <w:rFonts w:ascii="Calibri" w:eastAsia="Calibri" w:hAnsi="Calibri" w:cs="Calibri"/>
                <w:color w:val="000000"/>
              </w:rPr>
              <w:t xml:space="preserve">os cuerpos, poder y organización. Compilado y editado por Fundación Soberanía Sanitaria Sabrina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Balaña,  Agostina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Finielli Carla Giuliano Andrea Paz Carlota Ramírez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Masculinidades y Crianzas- Hugo Huberman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Vacio de la Maternidad – Victoria Sau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Anatomía </w:t>
            </w:r>
            <w:r>
              <w:rPr>
                <w:rFonts w:ascii="Calibri" w:eastAsia="Calibri" w:hAnsi="Calibri" w:cs="Calibri"/>
                <w:color w:val="000000"/>
              </w:rPr>
              <w:t xml:space="preserve">para colorear 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Artículos e imágenes de la Revista Fundación Crea Vida. “Nuestra Señora del Parto”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Artículo de la Revista Kine. “Circulo en Red”. Autora: AnabellaLozano.La Revista de lo Corporal. Octubre de 2016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Murga, M &amp;amp; Anzola, M. (2011). Cuadernillo N°2. Sistemas de Protección Integral de Derechos en el Ámbito Local. SENAF del Ministerio de Desarrollo Social de la Nación y Facultad de Trabajo Social de la Universidad Nacional de Entre Rios.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Niñez, Adolesce</w:t>
            </w:r>
            <w:r>
              <w:rPr>
                <w:rFonts w:ascii="Calibri" w:eastAsia="Calibri" w:hAnsi="Calibri" w:cs="Calibri"/>
                <w:color w:val="000000"/>
              </w:rPr>
              <w:t>ncia y Género. &gt;la transversalidad en la perspectiva de género en el trabajo con niñas, niños y Adolescentes. Módulo Instiuto provincial de la administración pública provincia de BsAs (2009)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Asamblea Permanente por los Derechos Humanos/ INADI, 2010: Discri</w:t>
            </w:r>
            <w:r>
              <w:rPr>
                <w:rFonts w:ascii="Calibri" w:eastAsia="Calibri" w:hAnsi="Calibri" w:cs="Calibri"/>
                <w:color w:val="000000"/>
              </w:rPr>
              <w:t xml:space="preserve">minación. Un abordaje didáctico desde los derechos humanos. Disponible en </w:t>
            </w:r>
            <w:hyperlink r:id="rId8">
              <w:r>
                <w:rPr>
                  <w:rFonts w:ascii="Calibri" w:eastAsia="Calibri" w:hAnsi="Calibri" w:cs="Calibri"/>
                  <w:color w:val="000000"/>
                  <w:u w:val="single"/>
                </w:rPr>
                <w:t>http://www.apdh-argentina.org.ar/sites/default/files/discriminacion_2010.pdf</w:t>
              </w:r>
            </w:hyperlink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Instituto</w:t>
            </w:r>
            <w:r>
              <w:rPr>
                <w:rFonts w:ascii="Calibri" w:eastAsia="Calibri" w:hAnsi="Calibri" w:cs="Calibri"/>
                <w:color w:val="000000"/>
              </w:rPr>
              <w:t xml:space="preserve"> Provincial de Género y Diversidad Sexual de la Provincia de Buenos Aires (2017).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“Niñez en construcción. Herramientas para pensar el trabajo con niñas y niños desde una Mirada de Género”. Gobierno de la Provincia de Buenos Aires.</w:t>
            </w:r>
          </w:p>
          <w:p w:rsidR="001C75FA" w:rsidRDefault="008F0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Marco Legislativo: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Convención Internacional sobre los Derechos del Niño (CIDN). Asamblea General de Naciones Unidas el 20 de noviembre de 1989</w:t>
            </w: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Ley 26.061 de 2006. Ley de Protección Integral de los Derecho de las Niñas, Niños Adolescentes. 28 de septiembre de 2005</w:t>
            </w:r>
          </w:p>
          <w:p w:rsidR="001C75FA" w:rsidRDefault="008F041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Ley 26485 de Protección Integral para Prevenir Sancionar y Erradicarlas Violencias contra las Mujeres en el ámbito que desarrollen sus relaciones personales (2009) </w:t>
            </w:r>
          </w:p>
          <w:p w:rsidR="001C75FA" w:rsidRDefault="001C75FA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1C75FA" w:rsidRDefault="008F041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Ley 25.929 de Parto Respetado</w:t>
            </w:r>
          </w:p>
          <w:p w:rsidR="001C75FA" w:rsidRDefault="001C7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C75FA" w:rsidRDefault="001C75F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C75FA" w:rsidRDefault="001C75FA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p w:rsidR="001C75FA" w:rsidRDefault="001C75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C75FA" w:rsidRDefault="001C75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C75FA" w:rsidRDefault="001C75FA">
      <w:bookmarkStart w:id="1" w:name="_heading=h.gjdgxs" w:colFirst="0" w:colLast="0"/>
      <w:bookmarkEnd w:id="1"/>
    </w:p>
    <w:sectPr w:rsidR="001C75FA">
      <w:headerReference w:type="default" r:id="rId9"/>
      <w:footerReference w:type="default" r:id="rId10"/>
      <w:pgSz w:w="11900" w:h="16840"/>
      <w:pgMar w:top="1134" w:right="567" w:bottom="1134" w:left="567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1B" w:rsidRDefault="008F041B">
      <w:r>
        <w:separator/>
      </w:r>
    </w:p>
  </w:endnote>
  <w:endnote w:type="continuationSeparator" w:id="0">
    <w:p w:rsidR="008F041B" w:rsidRDefault="008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FA" w:rsidRDefault="001C75F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1B" w:rsidRDefault="008F041B">
      <w:r>
        <w:separator/>
      </w:r>
    </w:p>
  </w:footnote>
  <w:footnote w:type="continuationSeparator" w:id="0">
    <w:p w:rsidR="008F041B" w:rsidRDefault="008F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FA" w:rsidRDefault="001C75F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2DE"/>
    <w:multiLevelType w:val="multilevel"/>
    <w:tmpl w:val="FC6E9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CA1F89"/>
    <w:multiLevelType w:val="multilevel"/>
    <w:tmpl w:val="E15E6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BD29EF"/>
    <w:multiLevelType w:val="multilevel"/>
    <w:tmpl w:val="CF7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80E5E"/>
    <w:multiLevelType w:val="multilevel"/>
    <w:tmpl w:val="B846F3E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A"/>
    <w:rsid w:val="001C75FA"/>
    <w:rsid w:val="003F29D5"/>
    <w:rsid w:val="008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6F4DA6-8414-4819-941F-3AC9A9A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h-argentina.org.ar/sites/default/files/discriminacion_20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jXAMZQ/romne51NcObZdpXZOg==">AMUW2mU7WyAsvtkUPKm3KEMkDLLIJ+mUscbee1tpCj178duaIkbj3pCvURuqez7hxxw9xgNVxOyJJMz/tAWPdlWBpcutgdez4cZ239g4PxOSKpW8IiX270ABrXlazMrXD/BNVxJf+DTd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2021-02-24T00:08:00Z</dcterms:created>
  <dcterms:modified xsi:type="dcterms:W3CDTF">2021-02-24T00:08:00Z</dcterms:modified>
</cp:coreProperties>
</file>